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2A8C" w14:textId="77777777" w:rsidR="0050524C" w:rsidRPr="000C35DE" w:rsidRDefault="0050524C" w:rsidP="000C35D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ПЛАНЫ ПРАКТИЧЕСКИХ ЗАНЯТИЙ</w:t>
      </w:r>
    </w:p>
    <w:p w14:paraId="278629BB" w14:textId="77777777" w:rsidR="0050524C" w:rsidRPr="000C35DE" w:rsidRDefault="0050524C" w:rsidP="000C35D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0FBC1EC" w14:textId="77777777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DE">
        <w:rPr>
          <w:rFonts w:ascii="Times New Roman" w:eastAsia="Calibri" w:hAnsi="Times New Roman" w:cs="Times New Roman"/>
          <w:sz w:val="24"/>
          <w:szCs w:val="24"/>
        </w:rPr>
        <w:t xml:space="preserve">Целью выполнения практических заданий является закрепление вопросов дисциплины, изложенных на лекции, углубление познания, создание положительной мотивации при изучении курса. </w:t>
      </w:r>
    </w:p>
    <w:p w14:paraId="354B7684" w14:textId="6909A617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DE">
        <w:rPr>
          <w:rFonts w:ascii="Times New Roman" w:eastAsia="Calibri" w:hAnsi="Times New Roman" w:cs="Times New Roman"/>
          <w:sz w:val="24"/>
          <w:szCs w:val="24"/>
        </w:rPr>
        <w:t xml:space="preserve">Практические задания предусматривают рассмотрение отдельных вопросов по темам дисциплины, построение схем, работу с нормативно-правовыми актами, решение задач непосредственно на практических занятиях или для самостоятельного решения дома с последующей проверкой на занятиях. </w:t>
      </w:r>
    </w:p>
    <w:p w14:paraId="234C45CD" w14:textId="77777777" w:rsidR="0050524C" w:rsidRPr="000C35DE" w:rsidRDefault="0050524C" w:rsidP="000C35D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</w:pPr>
    </w:p>
    <w:p w14:paraId="5ED23C4C" w14:textId="5C18F33C" w:rsidR="009323D3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Тема:</w:t>
      </w:r>
      <w:r w:rsidRPr="000C35DE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 xml:space="preserve"> </w:t>
      </w:r>
      <w:r w:rsidR="009323D3"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Функции, принципы и задачи</w:t>
      </w:r>
      <w:r w:rsidR="009323D3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3D3"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финансовых служб организации</w:t>
      </w:r>
    </w:p>
    <w:p w14:paraId="1221E9E1" w14:textId="77777777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B2CE0D" w14:textId="6237CF8B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Задание: </w:t>
      </w:r>
    </w:p>
    <w:p w14:paraId="7B4D0B1A" w14:textId="42014D5A" w:rsidR="0050524C" w:rsidRPr="000C35DE" w:rsidRDefault="0050524C" w:rsidP="000C35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структуры финансовой службы организации</w:t>
      </w:r>
    </w:p>
    <w:p w14:paraId="1B2C322A" w14:textId="1DB0F141" w:rsidR="009323D3" w:rsidRPr="000C35DE" w:rsidRDefault="009323D3" w:rsidP="000C35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финансовых ресурсов и источников их формирования</w:t>
      </w:r>
    </w:p>
    <w:p w14:paraId="17D69222" w14:textId="7D253565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E5523" w14:textId="08CAD685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рекомендации:</w:t>
      </w:r>
    </w:p>
    <w:p w14:paraId="68946C01" w14:textId="6C944B49" w:rsidR="0050524C" w:rsidRPr="000C35DE" w:rsidRDefault="0050524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hAnsi="Times New Roman" w:cs="Times New Roman"/>
          <w:sz w:val="24"/>
          <w:szCs w:val="24"/>
        </w:rPr>
        <w:t>При построении структуры финансовой службы организац</w:t>
      </w:r>
      <w:r w:rsidR="0039590E" w:rsidRPr="000C35DE">
        <w:rPr>
          <w:rFonts w:ascii="Times New Roman" w:hAnsi="Times New Roman" w:cs="Times New Roman"/>
          <w:sz w:val="24"/>
          <w:szCs w:val="24"/>
        </w:rPr>
        <w:t xml:space="preserve">ии необходимо учесть каждую группу (бюро) по отдельным функциональным обязанностям: учетную, аналитическую, финансовую. Определить </w:t>
      </w:r>
      <w:r w:rsidRPr="000C35DE">
        <w:rPr>
          <w:rFonts w:ascii="Times New Roman" w:hAnsi="Times New Roman" w:cs="Times New Roman"/>
          <w:sz w:val="24"/>
          <w:szCs w:val="24"/>
        </w:rPr>
        <w:t>функции и ответственность всех подразделений, их взаимоотношения с другими звеньями управления</w:t>
      </w:r>
      <w:r w:rsidR="0039590E" w:rsidRPr="000C35DE">
        <w:rPr>
          <w:rFonts w:ascii="Times New Roman" w:hAnsi="Times New Roman" w:cs="Times New Roman"/>
          <w:sz w:val="24"/>
          <w:szCs w:val="24"/>
        </w:rPr>
        <w:t xml:space="preserve">. </w:t>
      </w:r>
      <w:r w:rsidRPr="000C35DE">
        <w:rPr>
          <w:rFonts w:ascii="Times New Roman" w:hAnsi="Times New Roman" w:cs="Times New Roman"/>
          <w:sz w:val="24"/>
          <w:szCs w:val="24"/>
        </w:rPr>
        <w:t xml:space="preserve"> </w:t>
      </w:r>
      <w:r w:rsidR="0039590E" w:rsidRPr="000C35DE">
        <w:rPr>
          <w:rFonts w:ascii="Times New Roman" w:hAnsi="Times New Roman" w:cs="Times New Roman"/>
          <w:sz w:val="24"/>
          <w:szCs w:val="24"/>
        </w:rPr>
        <w:t>Роль и обязанности</w:t>
      </w:r>
      <w:r w:rsidRPr="000C35DE">
        <w:rPr>
          <w:rFonts w:ascii="Times New Roman" w:hAnsi="Times New Roman" w:cs="Times New Roman"/>
          <w:sz w:val="24"/>
          <w:szCs w:val="24"/>
        </w:rPr>
        <w:t xml:space="preserve"> финансовой дирекции</w:t>
      </w:r>
      <w:r w:rsidR="0039590E" w:rsidRPr="000C35DE">
        <w:rPr>
          <w:rFonts w:ascii="Times New Roman" w:hAnsi="Times New Roman" w:cs="Times New Roman"/>
          <w:sz w:val="24"/>
          <w:szCs w:val="24"/>
        </w:rPr>
        <w:t xml:space="preserve"> в системе управления финансовой службой организации</w:t>
      </w:r>
      <w:r w:rsidRPr="000C35DE">
        <w:rPr>
          <w:rFonts w:ascii="Times New Roman" w:hAnsi="Times New Roman" w:cs="Times New Roman"/>
          <w:sz w:val="24"/>
          <w:szCs w:val="24"/>
        </w:rPr>
        <w:t>.</w:t>
      </w:r>
    </w:p>
    <w:p w14:paraId="098D35A0" w14:textId="07EB75D2" w:rsidR="009323D3" w:rsidRPr="000C35DE" w:rsidRDefault="0039590E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примере предложенной финансовой отчетности организации определить источники формирования финансовых ресурсов организации.</w:t>
      </w:r>
    </w:p>
    <w:p w14:paraId="6F13B814" w14:textId="77777777" w:rsidR="0039590E" w:rsidRPr="000C35DE" w:rsidRDefault="0039590E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4EEFBA" w14:textId="65C0EB19" w:rsidR="009323D3" w:rsidRPr="000C35DE" w:rsidRDefault="0039590E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="009323D3"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Собственный капитал организации</w:t>
      </w:r>
    </w:p>
    <w:p w14:paraId="25463612" w14:textId="77777777" w:rsidR="007800B8" w:rsidRPr="000C35DE" w:rsidRDefault="007800B8" w:rsidP="000C35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5B68" w14:textId="611648BF" w:rsidR="004620A8" w:rsidRPr="000C35DE" w:rsidRDefault="0039590E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Hlk505690620"/>
      <w:r w:rsidRPr="000C3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="004620A8" w:rsidRPr="000C3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Pr="000C3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Уставный капитал </w:t>
      </w:r>
      <w:r w:rsidR="004620A8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ОО </w:t>
      </w:r>
      <w:r w:rsidR="004620A8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«Ромашка»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полностью оплачен. Со дня создания организации и по 31 марта у нее не было безвозмездных поступлений, и она не получала государственную помощь. Показатели бухгалтерского баланса на 31 марта будут следующими: </w:t>
      </w:r>
    </w:p>
    <w:p w14:paraId="4FD31359" w14:textId="232ADE08" w:rsidR="004620A8" w:rsidRPr="000C35DE" w:rsidRDefault="004620A8" w:rsidP="000C35D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 - 1 млн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тенге; </w:t>
      </w:r>
    </w:p>
    <w:p w14:paraId="0646BB59" w14:textId="3E949214" w:rsidR="004620A8" w:rsidRPr="000C35DE" w:rsidRDefault="004620A8" w:rsidP="000C35D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долгосрочные обязательства – 600 тыс. тенге; </w:t>
      </w:r>
    </w:p>
    <w:p w14:paraId="7D0A5DCC" w14:textId="64B4D371" w:rsidR="004620A8" w:rsidRPr="000C35DE" w:rsidRDefault="004620A8" w:rsidP="000C35D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краткосрочные обязательства – 300 тыс. тенге; </w:t>
      </w:r>
    </w:p>
    <w:p w14:paraId="274B2A7C" w14:textId="08208F83" w:rsidR="004620A8" w:rsidRPr="000C35DE" w:rsidRDefault="004620A8" w:rsidP="000C35D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капитал и резервы – 100 тыс. тенге (1 млн тенге - 600 тыс. тенге - 300 тыс. тенге). </w:t>
      </w:r>
    </w:p>
    <w:p w14:paraId="0893789C" w14:textId="55D68EA3" w:rsidR="004620A8" w:rsidRPr="000C35DE" w:rsidRDefault="004620A8" w:rsidP="000C35D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Требуется произвести р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асчет чистых активов по балансу на 31 марта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C740A18" w14:textId="77777777" w:rsidR="004620A8" w:rsidRPr="000C35DE" w:rsidRDefault="004620A8" w:rsidP="000C35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169015" w14:textId="4121C8B7" w:rsidR="004620A8" w:rsidRPr="000C35DE" w:rsidRDefault="004620A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2: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ТОО «Ротор»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показатели бухгалтерского баланса следующие:</w:t>
      </w:r>
    </w:p>
    <w:p w14:paraId="2039EA33" w14:textId="3A306E3F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Нематериальные 326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03D181A4" w14:textId="6F023B54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Долгосрочные обязательства по займам и кредитам 1 467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493FCFCD" w14:textId="43AAFA8E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средства 3 260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179AB5C8" w14:textId="115AE8F0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Прочие долгосрочные обязательства 1 956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65AE3E4B" w14:textId="67A7005F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Долгосрочные и краткосрочные финансовые вложения 2 445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31B75CBD" w14:textId="0CC63DC4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Краткосрочные обязательства по займам и кредитам 489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7CD5ADE9" w14:textId="2C3C4858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Запасы 326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0B772153" w14:textId="1FB01E07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Кредиторская задолженность 652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6F5697AA" w14:textId="427CC603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НДС по приобретенным ценностям 65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22EA50E1" w14:textId="47C54844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Прочие краткосрочные обязательства 163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35F5811E" w14:textId="7672371C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Дебиторская задолженность 1 141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тенге;</w:t>
      </w:r>
    </w:p>
    <w:p w14:paraId="514247F8" w14:textId="53A7CC8E" w:rsidR="004620A8" w:rsidRPr="000C35DE" w:rsidRDefault="004620A8" w:rsidP="000C35D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Денежные средства 815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9590E"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000 </w:t>
      </w: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тенге.</w:t>
      </w:r>
    </w:p>
    <w:p w14:paraId="45CC0778" w14:textId="18BD454E" w:rsidR="0039590E" w:rsidRPr="000C35DE" w:rsidRDefault="004620A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Требуется произвести расчет чистых активов по балансу.</w:t>
      </w:r>
      <w:r w:rsidR="000446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D30BE59" w14:textId="77777777" w:rsidR="007800B8" w:rsidRPr="000C35DE" w:rsidRDefault="007800B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F891F1" w14:textId="2DD19AEA" w:rsidR="007800B8" w:rsidRPr="000C35DE" w:rsidRDefault="007800B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Методические рекомендации:</w:t>
      </w:r>
    </w:p>
    <w:p w14:paraId="2E03CE5A" w14:textId="77777777" w:rsidR="007800B8" w:rsidRPr="000C35DE" w:rsidRDefault="007800B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7A967" wp14:editId="62C41E11">
            <wp:extent cx="344805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31019A7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где:</w:t>
      </w:r>
    </w:p>
    <w:p w14:paraId="7BB4F607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 xml:space="preserve">ЧА </w:t>
      </w:r>
      <w:r w:rsidRPr="000C35DE">
        <w:softHyphen/>
        <w:t>– стоимость чистых активов предприятия;</w:t>
      </w:r>
    </w:p>
    <w:p w14:paraId="684F6CFE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А1 – внеоборотные активы предприятия;</w:t>
      </w:r>
    </w:p>
    <w:p w14:paraId="4A152F41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А2 – оборотные активы;</w:t>
      </w:r>
    </w:p>
    <w:p w14:paraId="29C2A86E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ЗУ – задолженности учредителей по взносам в уставной капитал;</w:t>
      </w:r>
    </w:p>
    <w:p w14:paraId="2BC4594E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ЗВА – затраты по выкупу собственных акций;</w:t>
      </w:r>
    </w:p>
    <w:p w14:paraId="26A2DAE8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П2 – долгосрочные обязательства</w:t>
      </w:r>
    </w:p>
    <w:p w14:paraId="50B4BA64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textAlignment w:val="baseline"/>
      </w:pPr>
      <w:r w:rsidRPr="000C35DE">
        <w:t>П3 – краткосрочные обязательства;</w:t>
      </w:r>
    </w:p>
    <w:p w14:paraId="405F6C70" w14:textId="77777777" w:rsidR="007800B8" w:rsidRPr="000C35DE" w:rsidRDefault="007800B8" w:rsidP="000C35D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0C35DE">
        <w:t>ДБП – доходы будущих периодов.</w:t>
      </w:r>
    </w:p>
    <w:p w14:paraId="27CFE3EC" w14:textId="77777777" w:rsidR="007800B8" w:rsidRPr="000C35DE" w:rsidRDefault="007800B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CD04F" w14:textId="36BBD06C" w:rsidR="00F35EDC" w:rsidRPr="000C35DE" w:rsidRDefault="00513937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Задание 3</w:t>
      </w:r>
      <w:proofErr w:type="gramStart"/>
      <w:r w:rsidRPr="000C35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044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="00372C29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уставного капитала стоимости чистых акти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 и размер собственного капитала на основании предложенного бухгалтерского баланса.</w:t>
      </w:r>
    </w:p>
    <w:p w14:paraId="02B0266E" w14:textId="77777777" w:rsidR="00F35EDC" w:rsidRPr="000C35DE" w:rsidRDefault="00F35EDC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C87E0" w14:textId="5D865232" w:rsidR="00F35EDC" w:rsidRPr="000C35DE" w:rsidRDefault="00F35EDC" w:rsidP="000C35DE">
      <w:pPr>
        <w:shd w:val="clear" w:color="auto" w:fill="FFFFFF"/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Методические рекомендации:</w:t>
      </w:r>
    </w:p>
    <w:p w14:paraId="1C9080EE" w14:textId="36C5A100" w:rsidR="007800B8" w:rsidRPr="000C35DE" w:rsidRDefault="00D00F81" w:rsidP="000C35DE">
      <w:pPr>
        <w:shd w:val="clear" w:color="auto" w:fill="FFFFFF"/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Соотношение уставного капитала и чистых активов</w:t>
      </w:r>
    </w:p>
    <w:p w14:paraId="6EAEFEC1" w14:textId="5B24E54B" w:rsidR="007800B8" w:rsidRPr="000C35DE" w:rsidRDefault="00513937" w:rsidP="000C35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00B8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ормальной ситуацией считается, </w:t>
      </w:r>
      <w:r w:rsidR="007800B8"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стоимость ЧА обладает положительным значением</w:t>
      </w:r>
      <w:r w:rsidR="007800B8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кроме того, она выше объема уставного капитала (УК). Смысл такой пропорции сводится к тому, что в процессе своей производственно-финансовой активности организация не только не растратила капитал, предоставленный ее учредителями, но также смогла его приумножить.</w:t>
      </w:r>
    </w:p>
    <w:p w14:paraId="4A701937" w14:textId="3156E23B" w:rsidR="007800B8" w:rsidRPr="000C35DE" w:rsidRDefault="00513937" w:rsidP="000C35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00B8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братная ситуация, </w:t>
      </w:r>
      <w:r w:rsidR="007800B8"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ЧА ниже УК</w:t>
      </w:r>
      <w:r w:rsidR="007800B8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крайне негативная ситуация, поскольку предприятие не смогло использовать предоставленные ему </w:t>
      </w:r>
      <w:hyperlink r:id="rId6" w:history="1">
        <w:r w:rsidR="007800B8" w:rsidRPr="000C3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денежные средства</w:t>
        </w:r>
      </w:hyperlink>
      <w:r w:rsidR="007800B8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7" w:history="1">
        <w:r w:rsidR="007800B8" w:rsidRPr="000C3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имущество</w:t>
        </w:r>
      </w:hyperlink>
      <w:r w:rsidR="007800B8"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их прироста. Такая ситуация возможна лишь на начальном этапе деятельности компании, когда она только начинает свое функционирование и постепенно наращивает обороты.</w:t>
      </w:r>
    </w:p>
    <w:p w14:paraId="6E5C4A19" w14:textId="77777777" w:rsidR="007800B8" w:rsidRPr="000C35DE" w:rsidRDefault="007800B8" w:rsidP="000C35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45403" wp14:editId="7B38884E">
            <wp:extent cx="6286500" cy="3581400"/>
            <wp:effectExtent l="0" t="0" r="0" b="0"/>
            <wp:docPr id="3" name="Рисунок 3" descr="http://uriston.com/wp-content/uploads/2017/07/Shema-rascheta-velichiny-chistyh-aktiv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on.com/wp-content/uploads/2017/07/Shema-rascheta-velichiny-chistyh-aktivov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8B41" w14:textId="77777777" w:rsidR="007800B8" w:rsidRPr="000C35DE" w:rsidRDefault="007800B8" w:rsidP="000C35DE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двух категорий</w:t>
      </w:r>
    </w:p>
    <w:p w14:paraId="68522549" w14:textId="77777777" w:rsidR="007800B8" w:rsidRPr="000C35DE" w:rsidRDefault="007800B8" w:rsidP="000C35DE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 ЧА ниже УК</w:t>
      </w:r>
    </w:p>
    <w:p w14:paraId="326D5835" w14:textId="77777777" w:rsidR="007800B8" w:rsidRPr="000C35DE" w:rsidRDefault="007800B8" w:rsidP="000C35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хозяйствующего субъекта возникает негативная ситуация, когда стоимость ЧА становится ниже величины УК, ему следует предпринимать определенные действия. Они 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координируются с изменением уставного капитала и конкретно с его снижением до величины ЧА. Объем УК понижается, и это действие обязательно закрепляется в учредительных документах и фиксируется в контролирующих государственных органах.</w:t>
      </w:r>
    </w:p>
    <w:p w14:paraId="27DDB84E" w14:textId="77777777" w:rsidR="007800B8" w:rsidRPr="000C35DE" w:rsidRDefault="007800B8" w:rsidP="000C35D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 важный момент: компания имеет право уменьшить объем уставного капитала до размера ЧА только при тех обстоятельствах, если это не приведет к созданию УК ниже его </w:t>
      </w:r>
      <w:hyperlink r:id="rId9" w:history="1">
        <w:r w:rsidRPr="000C35D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минимально разрешенного законного размера</w:t>
        </w:r>
      </w:hyperlink>
      <w:r w:rsidRPr="000C3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ситуации, когда уставный капитал невозможно понизить до величины ЧА, так как его значение будет меньше минимального размера, предприятие будет закрываться.</w:t>
      </w:r>
    </w:p>
    <w:p w14:paraId="07C98323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58B8934E" w14:textId="33B24896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1.</w:t>
      </w:r>
    </w:p>
    <w:p w14:paraId="7819B956" w14:textId="77777777" w:rsidR="009B2FDA" w:rsidRPr="000C35DE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основных производственных фондов предприятия на начало года составила 16450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тенге.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марта было введено фондов на сумму – 260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 октября на 420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1 сентября выбыло фондов на сумму 390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тенге.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среднегодовую стоимость основных производственных фондов предприятия.</w:t>
      </w:r>
    </w:p>
    <w:p w14:paraId="1A2DBE0C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7FB692E1" w14:textId="61F82C77" w:rsidR="009B2FDA" w:rsidRPr="009B2FDA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2.</w:t>
      </w:r>
    </w:p>
    <w:p w14:paraId="2C6864A0" w14:textId="632E3BBC" w:rsidR="009B2FDA" w:rsidRPr="000C35DE" w:rsidRDefault="009B2FDA" w:rsidP="009B2FDA">
      <w:pPr>
        <w:pStyle w:val="1"/>
        <w:shd w:val="clear" w:color="auto" w:fill="FFFFFF"/>
        <w:spacing w:before="0" w:beforeAutospacing="0" w:after="0" w:afterAutospacing="0"/>
        <w:ind w:firstLine="567"/>
        <w:contextualSpacing/>
      </w:pPr>
      <w:r w:rsidRPr="000C35DE">
        <w:t>Определить годовую величину амортизационных отчислений и норму амортизации технологического оборудования, если цена его приобретения – 240 млн. </w:t>
      </w:r>
      <w:r>
        <w:t>тенге</w:t>
      </w:r>
      <w:r w:rsidRPr="000C35DE">
        <w:t>, затраты на транспортировку и монтаж – 15 млн. </w:t>
      </w:r>
      <w:r>
        <w:t>тенге.</w:t>
      </w:r>
      <w:r w:rsidRPr="000C35DE">
        <w:t>  Срок службы данного типа оборудования – 8 лет.</w:t>
      </w:r>
    </w:p>
    <w:p w14:paraId="08CEBD5B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7E430F1E" w14:textId="5C845DD9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3.</w:t>
      </w:r>
    </w:p>
    <w:p w14:paraId="2AB9D9F3" w14:textId="77777777" w:rsidR="009B2FDA" w:rsidRPr="000C35DE" w:rsidRDefault="009B2FDA" w:rsidP="009B2FDA">
      <w:pPr>
        <w:pStyle w:val="1"/>
        <w:shd w:val="clear" w:color="auto" w:fill="FFFFFF"/>
        <w:spacing w:before="0" w:beforeAutospacing="0" w:after="0" w:afterAutospacing="0"/>
        <w:ind w:firstLine="567"/>
        <w:contextualSpacing/>
      </w:pPr>
      <w:r w:rsidRPr="000C35DE">
        <w:t xml:space="preserve">Определить фондоотдачу, </w:t>
      </w:r>
      <w:proofErr w:type="spellStart"/>
      <w:r w:rsidRPr="000C35DE">
        <w:t>фондоемкость</w:t>
      </w:r>
      <w:proofErr w:type="spellEnd"/>
      <w:r w:rsidRPr="000C35DE">
        <w:t xml:space="preserve">, общую и техническую фондовооруженность на предприятии, если выручка от реализации продукции в отчетном году составила 32100 тыс. </w:t>
      </w:r>
      <w:r>
        <w:t>тенге</w:t>
      </w:r>
      <w:r w:rsidRPr="000C35DE">
        <w:t xml:space="preserve">, среднегодовая стоимость основных производственных фондов 14400 тыс. </w:t>
      </w:r>
      <w:r>
        <w:t>тенге</w:t>
      </w:r>
      <w:r w:rsidRPr="000C35DE">
        <w:t xml:space="preserve">, (в том числе их активной части – 2250 тыс. </w:t>
      </w:r>
      <w:r>
        <w:t>тенге</w:t>
      </w:r>
      <w:r w:rsidRPr="000C35DE">
        <w:t>), среднесписочная численность рабочих 126 человек.</w:t>
      </w:r>
    </w:p>
    <w:p w14:paraId="5D112B44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76B5BCF2" w14:textId="6F946BC4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4.</w:t>
      </w:r>
    </w:p>
    <w:p w14:paraId="59BA25DE" w14:textId="77777777" w:rsidR="009B2FDA" w:rsidRPr="000C35DE" w:rsidRDefault="009B2FDA" w:rsidP="009B2FDA">
      <w:pPr>
        <w:pStyle w:val="1"/>
        <w:shd w:val="clear" w:color="auto" w:fill="FFFFFF"/>
        <w:spacing w:before="0" w:beforeAutospacing="0" w:after="0" w:afterAutospacing="0"/>
        <w:ind w:firstLine="567"/>
        <w:contextualSpacing/>
        <w:rPr>
          <w:shd w:val="clear" w:color="auto" w:fill="FFFFFF"/>
        </w:rPr>
      </w:pPr>
      <w:r w:rsidRPr="000C35DE">
        <w:rPr>
          <w:shd w:val="clear" w:color="auto" w:fill="FFFFFF"/>
        </w:rPr>
        <w:t xml:space="preserve">Определить фондоотдачу, </w:t>
      </w:r>
      <w:proofErr w:type="spellStart"/>
      <w:r w:rsidRPr="000C35DE">
        <w:rPr>
          <w:shd w:val="clear" w:color="auto" w:fill="FFFFFF"/>
        </w:rPr>
        <w:t>фондоемкость</w:t>
      </w:r>
      <w:proofErr w:type="spellEnd"/>
      <w:r w:rsidRPr="000C35DE">
        <w:rPr>
          <w:shd w:val="clear" w:color="auto" w:fill="FFFFFF"/>
        </w:rPr>
        <w:t xml:space="preserve">, общую и техническую фондовооруженность, если годовой объем реализации продукции 20000 тыс. </w:t>
      </w:r>
      <w:r>
        <w:rPr>
          <w:shd w:val="clear" w:color="auto" w:fill="FFFFFF"/>
        </w:rPr>
        <w:t>тенге</w:t>
      </w:r>
      <w:r w:rsidRPr="000C35DE">
        <w:rPr>
          <w:shd w:val="clear" w:color="auto" w:fill="FFFFFF"/>
        </w:rPr>
        <w:t xml:space="preserve">, среднегодовая стоимость основных производственных фондов 10500 тыс. </w:t>
      </w:r>
      <w:r>
        <w:rPr>
          <w:shd w:val="clear" w:color="auto" w:fill="FFFFFF"/>
        </w:rPr>
        <w:t>тенге</w:t>
      </w:r>
      <w:r w:rsidRPr="000C35DE">
        <w:rPr>
          <w:shd w:val="clear" w:color="auto" w:fill="FFFFFF"/>
        </w:rPr>
        <w:t xml:space="preserve">, стоимость активной части основных фондов 8800 тыс. </w:t>
      </w:r>
      <w:r>
        <w:rPr>
          <w:shd w:val="clear" w:color="auto" w:fill="FFFFFF"/>
        </w:rPr>
        <w:t>тенге</w:t>
      </w:r>
      <w:r w:rsidRPr="000C35DE">
        <w:rPr>
          <w:shd w:val="clear" w:color="auto" w:fill="FFFFFF"/>
        </w:rPr>
        <w:t>, среднесписочная численность рабочих 47 человек.</w:t>
      </w:r>
    </w:p>
    <w:p w14:paraId="2BF727B4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43BAF4A4" w14:textId="4327C631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5.</w:t>
      </w:r>
    </w:p>
    <w:p w14:paraId="6B8AFF19" w14:textId="77777777" w:rsidR="009B2FDA" w:rsidRPr="000C35DE" w:rsidRDefault="009B2FDA" w:rsidP="009B2FD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внутреннюю норму окупаемости, если величина инвестиций по проекту равна 1000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доходность по годам составила: в первый год – 105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второй год – 200 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третий и четвертый годы – 300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пятый год – 400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тенге.</w:t>
      </w:r>
    </w:p>
    <w:p w14:paraId="67EB30DF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44BECA81" w14:textId="49390870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6.</w:t>
      </w:r>
    </w:p>
    <w:p w14:paraId="07FA5FBA" w14:textId="77777777" w:rsidR="009B2FDA" w:rsidRPr="000C35DE" w:rsidRDefault="009B2FDA" w:rsidP="009B2FD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коэффициенты оборачиваемости и загрузки, а также длительность одного оборота оборотных средств, если объем реализации продукции на предприятии составил 3210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0C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среднегодовой остаток оборотных средств – 482 млн.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тенге.</w:t>
      </w:r>
    </w:p>
    <w:p w14:paraId="2C059E76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6E9CCC50" w14:textId="7512BE3F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7.</w:t>
      </w:r>
    </w:p>
    <w:p w14:paraId="3747A503" w14:textId="77777777" w:rsidR="009B2FDA" w:rsidRPr="006936DB" w:rsidRDefault="009B2FDA" w:rsidP="009B2FD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6936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 xml:space="preserve">Нормативный срок службы оборудования-10 лет; цена его приобретения-6 тыс. тт.; транспортно-заготовительные расходы 420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>тенге</w:t>
      </w:r>
      <w:r w:rsidRPr="006936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 xml:space="preserve">., ликвидационная стоимость оборудования 57,8 </w:t>
      </w:r>
      <w:proofErr w:type="spellStart"/>
      <w:r w:rsidRPr="006936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>тг</w:t>
      </w:r>
      <w:proofErr w:type="spellEnd"/>
      <w:r w:rsidRPr="006936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 xml:space="preserve">.; остаточная стоимость оборудования 257 </w:t>
      </w:r>
      <w:proofErr w:type="spellStart"/>
      <w:r w:rsidRPr="006936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>тг</w:t>
      </w:r>
      <w:proofErr w:type="spellEnd"/>
      <w:r w:rsidRPr="006936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kk-KZ"/>
        </w:rPr>
        <w:t xml:space="preserve">. Определите норму амортизационных </w:t>
      </w:r>
      <w:r w:rsidRPr="006936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kk-KZ"/>
        </w:rPr>
        <w:t>отчислений (годовую).</w:t>
      </w:r>
    </w:p>
    <w:p w14:paraId="52923E74" w14:textId="77777777" w:rsidR="009B2FDA" w:rsidRDefault="009B2FDA" w:rsidP="009B2FDA">
      <w:pPr>
        <w:widowControl w:val="0"/>
        <w:shd w:val="clear" w:color="auto" w:fill="FFFFFF"/>
        <w:tabs>
          <w:tab w:val="left" w:pos="284"/>
          <w:tab w:val="left" w:pos="5789"/>
          <w:tab w:val="left" w:leader="underscore" w:pos="8304"/>
        </w:tabs>
        <w:autoSpaceDE w:val="0"/>
        <w:autoSpaceDN w:val="0"/>
        <w:adjustRightInd w:val="0"/>
        <w:spacing w:after="0" w:line="240" w:lineRule="auto"/>
        <w:ind w:right="1"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p w14:paraId="39D5218E" w14:textId="47824724" w:rsidR="009B2FDA" w:rsidRPr="006936DB" w:rsidRDefault="009B2FDA" w:rsidP="009B2F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Задача 8.</w:t>
      </w:r>
    </w:p>
    <w:p w14:paraId="40750EEA" w14:textId="77777777" w:rsidR="009B2FDA" w:rsidRPr="006936DB" w:rsidRDefault="009B2FDA" w:rsidP="009B2F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" w:firstLine="567"/>
        <w:mirrorIndents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6936DB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Определите по сроку окупаемости дополнительных капитальных вложений наиболее эффективный вариант строительства завода. Нормативный срок окупаемости 54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4"/>
      </w:tblGrid>
      <w:tr w:rsidR="009B2FDA" w:rsidRPr="006936DB" w14:paraId="5C871248" w14:textId="77777777" w:rsidTr="00195C7C">
        <w:tc>
          <w:tcPr>
            <w:tcW w:w="2392" w:type="dxa"/>
            <w:vAlign w:val="center"/>
          </w:tcPr>
          <w:p w14:paraId="65CA080A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Варианты</w:t>
            </w:r>
          </w:p>
        </w:tc>
        <w:tc>
          <w:tcPr>
            <w:tcW w:w="2393" w:type="dxa"/>
            <w:vAlign w:val="center"/>
          </w:tcPr>
          <w:p w14:paraId="12A34A17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Проектная помощь 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завода (тыс. м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kk-KZ"/>
              </w:rPr>
              <w:t>3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)</w:t>
            </w:r>
          </w:p>
        </w:tc>
        <w:tc>
          <w:tcPr>
            <w:tcW w:w="2393" w:type="dxa"/>
            <w:vAlign w:val="center"/>
          </w:tcPr>
          <w:p w14:paraId="1D5E21C2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 xml:space="preserve">Улетные 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капитальные вложения (тг./м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kk-KZ"/>
              </w:rPr>
              <w:t>3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)</w:t>
            </w:r>
          </w:p>
        </w:tc>
        <w:tc>
          <w:tcPr>
            <w:tcW w:w="2484" w:type="dxa"/>
            <w:vAlign w:val="center"/>
          </w:tcPr>
          <w:p w14:paraId="3F41DB4E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 xml:space="preserve">Себестоимость </w:t>
            </w: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единицы продукции, тг.</w:t>
            </w:r>
          </w:p>
        </w:tc>
      </w:tr>
      <w:tr w:rsidR="009B2FDA" w:rsidRPr="006936DB" w14:paraId="2BB9DBFD" w14:textId="77777777" w:rsidTr="00195C7C">
        <w:tc>
          <w:tcPr>
            <w:tcW w:w="2392" w:type="dxa"/>
            <w:vAlign w:val="center"/>
          </w:tcPr>
          <w:p w14:paraId="44D530EB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1-й</w:t>
            </w:r>
          </w:p>
          <w:p w14:paraId="41C27C44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2-й</w:t>
            </w:r>
          </w:p>
        </w:tc>
        <w:tc>
          <w:tcPr>
            <w:tcW w:w="2393" w:type="dxa"/>
            <w:vAlign w:val="center"/>
          </w:tcPr>
          <w:p w14:paraId="5D260ED3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190</w:t>
            </w:r>
          </w:p>
          <w:p w14:paraId="1813917E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190</w:t>
            </w:r>
          </w:p>
        </w:tc>
        <w:tc>
          <w:tcPr>
            <w:tcW w:w="2393" w:type="dxa"/>
            <w:vAlign w:val="center"/>
          </w:tcPr>
          <w:p w14:paraId="41C14446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50</w:t>
            </w:r>
          </w:p>
          <w:p w14:paraId="2E64FF6E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50</w:t>
            </w:r>
          </w:p>
        </w:tc>
        <w:tc>
          <w:tcPr>
            <w:tcW w:w="2484" w:type="dxa"/>
            <w:vAlign w:val="center"/>
          </w:tcPr>
          <w:p w14:paraId="73A7FC2B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22</w:t>
            </w:r>
          </w:p>
          <w:p w14:paraId="0E81FC54" w14:textId="77777777" w:rsidR="009B2FDA" w:rsidRPr="006936DB" w:rsidRDefault="009B2FDA" w:rsidP="00195C7C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after="200" w:line="276" w:lineRule="auto"/>
              <w:ind w:right="1" w:firstLine="2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6936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20</w:t>
            </w:r>
          </w:p>
        </w:tc>
      </w:tr>
    </w:tbl>
    <w:p w14:paraId="1439389A" w14:textId="77777777" w:rsidR="009B2FDA" w:rsidRDefault="009B2FDA" w:rsidP="009B2FDA">
      <w:pPr>
        <w:ind w:firstLine="567"/>
      </w:pPr>
    </w:p>
    <w:p w14:paraId="1E17836C" w14:textId="77777777" w:rsidR="008419AB" w:rsidRPr="008419AB" w:rsidRDefault="008419AB" w:rsidP="008419A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6. </w:t>
      </w:r>
      <w:r w:rsidRPr="008419AB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объем выпуска товарной продукции составил 260 </w:t>
      </w:r>
      <w:proofErr w:type="spellStart"/>
      <w:proofErr w:type="gramStart"/>
      <w:r w:rsidRPr="008419AB">
        <w:rPr>
          <w:rFonts w:ascii="Times New Roman" w:eastAsia="Times New Roman" w:hAnsi="Times New Roman" w:cs="Times New Roman"/>
          <w:sz w:val="24"/>
          <w:szCs w:val="24"/>
        </w:rPr>
        <w:t>млн.тенге</w:t>
      </w:r>
      <w:proofErr w:type="spellEnd"/>
      <w:proofErr w:type="gramEnd"/>
      <w:r w:rsidRPr="008419AB">
        <w:rPr>
          <w:rFonts w:ascii="Times New Roman" w:eastAsia="Times New Roman" w:hAnsi="Times New Roman" w:cs="Times New Roman"/>
          <w:sz w:val="24"/>
          <w:szCs w:val="24"/>
        </w:rPr>
        <w:t>; среднесписочная численность промышленно-производственного персонала предприятия (ППП) – 120 человек. В планируемом году объем товарной продукции составит 280 млн. тенге; а численность ППП сократится на 10 человек.</w:t>
      </w:r>
    </w:p>
    <w:p w14:paraId="07198BFF" w14:textId="77777777" w:rsidR="008419AB" w:rsidRPr="008419AB" w:rsidRDefault="008419AB" w:rsidP="008419A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B">
        <w:rPr>
          <w:rFonts w:ascii="Times New Roman" w:eastAsia="Times New Roman" w:hAnsi="Times New Roman" w:cs="Times New Roman"/>
          <w:sz w:val="24"/>
          <w:szCs w:val="24"/>
        </w:rPr>
        <w:t>Определите производительность труда одного работника в отчетном и планируемом периодах, а также рост производительности труда в планируемом году.</w:t>
      </w:r>
    </w:p>
    <w:p w14:paraId="7A1C6D3B" w14:textId="77777777" w:rsidR="008419AB" w:rsidRPr="008419AB" w:rsidRDefault="008419AB" w:rsidP="008419A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7. </w:t>
      </w:r>
      <w:r w:rsidRPr="008419AB">
        <w:rPr>
          <w:rFonts w:ascii="Times New Roman" w:eastAsia="Times New Roman" w:hAnsi="Times New Roman" w:cs="Times New Roman"/>
          <w:sz w:val="24"/>
          <w:szCs w:val="24"/>
        </w:rPr>
        <w:t>Определите снижение трудоемкости, высвобождение рабочих и рост производительности труда за счет проведения ряда организационно-технических мероприятий, используя следующие данные: годовой выпуск изделий составляет 52 тыс. ед., трудоемкость одного изделия уменьшилась с 1 января на 5 мин и составила 50 мин, полезный годовой фонд времени одного рабочего составляет 1840 ч.</w:t>
      </w:r>
    </w:p>
    <w:p w14:paraId="2F976818" w14:textId="77777777" w:rsidR="008419AB" w:rsidRPr="008419AB" w:rsidRDefault="008419AB" w:rsidP="008419A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8. </w:t>
      </w:r>
      <w:r w:rsidRPr="008419AB">
        <w:rPr>
          <w:rFonts w:ascii="Times New Roman" w:eastAsia="Times New Roman" w:hAnsi="Times New Roman" w:cs="Times New Roman"/>
          <w:sz w:val="24"/>
          <w:szCs w:val="24"/>
        </w:rPr>
        <w:t>Определите уровень сменной производительности труда на рабочем месте (</w:t>
      </w:r>
      <w:proofErr w:type="spellStart"/>
      <w:r w:rsidRPr="008419AB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8419AB">
        <w:rPr>
          <w:rFonts w:ascii="Times New Roman" w:eastAsia="Times New Roman" w:hAnsi="Times New Roman" w:cs="Times New Roman"/>
          <w:sz w:val="24"/>
          <w:szCs w:val="24"/>
        </w:rPr>
        <w:t>/чел-см)</w:t>
      </w:r>
      <w:bookmarkStart w:id="1" w:name="_GoBack"/>
      <w:bookmarkEnd w:id="1"/>
    </w:p>
    <w:p w14:paraId="5E813DB4" w14:textId="77777777" w:rsidR="008419AB" w:rsidRPr="008419AB" w:rsidRDefault="008419AB" w:rsidP="008419A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AB">
        <w:rPr>
          <w:rFonts w:ascii="Times New Roman" w:eastAsia="Times New Roman" w:hAnsi="Times New Roman" w:cs="Times New Roman"/>
          <w:sz w:val="24"/>
          <w:szCs w:val="24"/>
        </w:rPr>
        <w:t xml:space="preserve">Исходные данные: потери времени, зафиксированные в течение смены (8 ч), </w:t>
      </w:r>
      <w:proofErr w:type="gramStart"/>
      <w:r w:rsidRPr="008419AB">
        <w:rPr>
          <w:rFonts w:ascii="Times New Roman" w:eastAsia="Times New Roman" w:hAnsi="Times New Roman" w:cs="Times New Roman"/>
          <w:sz w:val="24"/>
          <w:szCs w:val="24"/>
        </w:rPr>
        <w:t>по  различным</w:t>
      </w:r>
      <w:proofErr w:type="gramEnd"/>
      <w:r w:rsidRPr="008419AB">
        <w:rPr>
          <w:rFonts w:ascii="Times New Roman" w:eastAsia="Times New Roman" w:hAnsi="Times New Roman" w:cs="Times New Roman"/>
          <w:sz w:val="24"/>
          <w:szCs w:val="24"/>
        </w:rPr>
        <w:t xml:space="preserve"> уважительным организационно-техническим причинам составила 30 мин. Норма штучно-калькуляционного времени на изделие – 0,5 ч; коэффициент выполнения этой нормы – 1.1.</w:t>
      </w:r>
    </w:p>
    <w:p w14:paraId="64FA4366" w14:textId="18D435B3" w:rsidR="007800B8" w:rsidRPr="008419AB" w:rsidRDefault="007800B8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CCA47" w14:textId="0B88CCC1" w:rsidR="00FE0593" w:rsidRDefault="00FE0593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23BC1E" w14:textId="67F4809F" w:rsidR="00FE0593" w:rsidRDefault="00FE0593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F736AB" w14:textId="0BF90EF9" w:rsidR="00FE0593" w:rsidRDefault="00FE0593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C0198E" w14:textId="77777777" w:rsidR="00FE0593" w:rsidRPr="000C35DE" w:rsidRDefault="00FE0593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47EACD" w14:textId="77777777" w:rsidR="0039590E" w:rsidRPr="000C35DE" w:rsidRDefault="0039590E" w:rsidP="000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590E" w:rsidRPr="000C35DE" w:rsidSect="005052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F6D"/>
    <w:multiLevelType w:val="hybridMultilevel"/>
    <w:tmpl w:val="6AA46F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286203"/>
    <w:multiLevelType w:val="hybridMultilevel"/>
    <w:tmpl w:val="AB6CF652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7D7893"/>
    <w:multiLevelType w:val="multilevel"/>
    <w:tmpl w:val="DE5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F4CB2"/>
    <w:multiLevelType w:val="multilevel"/>
    <w:tmpl w:val="291808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E7EA4"/>
    <w:multiLevelType w:val="multilevel"/>
    <w:tmpl w:val="5EAC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67F91"/>
    <w:multiLevelType w:val="hybridMultilevel"/>
    <w:tmpl w:val="715EB416"/>
    <w:lvl w:ilvl="0" w:tplc="ECBEC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8"/>
    <w:rsid w:val="000446E9"/>
    <w:rsid w:val="000C35DE"/>
    <w:rsid w:val="001221C9"/>
    <w:rsid w:val="00272618"/>
    <w:rsid w:val="00282C06"/>
    <w:rsid w:val="00372C29"/>
    <w:rsid w:val="0039590E"/>
    <w:rsid w:val="00450C31"/>
    <w:rsid w:val="004620A8"/>
    <w:rsid w:val="004A18A1"/>
    <w:rsid w:val="0050524C"/>
    <w:rsid w:val="00513937"/>
    <w:rsid w:val="005F73E1"/>
    <w:rsid w:val="006423A6"/>
    <w:rsid w:val="00654014"/>
    <w:rsid w:val="006A6DE8"/>
    <w:rsid w:val="006C25FE"/>
    <w:rsid w:val="006E5E58"/>
    <w:rsid w:val="007800B8"/>
    <w:rsid w:val="007973D8"/>
    <w:rsid w:val="00821B85"/>
    <w:rsid w:val="008419AB"/>
    <w:rsid w:val="008E685E"/>
    <w:rsid w:val="009323D3"/>
    <w:rsid w:val="009B2FDA"/>
    <w:rsid w:val="00A70103"/>
    <w:rsid w:val="00AB4B73"/>
    <w:rsid w:val="00B25522"/>
    <w:rsid w:val="00C70CF8"/>
    <w:rsid w:val="00CC423C"/>
    <w:rsid w:val="00D00F81"/>
    <w:rsid w:val="00D01460"/>
    <w:rsid w:val="00DE0F5F"/>
    <w:rsid w:val="00E55904"/>
    <w:rsid w:val="00E73AEA"/>
    <w:rsid w:val="00EB67DB"/>
    <w:rsid w:val="00F17DAF"/>
    <w:rsid w:val="00F35EDC"/>
    <w:rsid w:val="00FC3E1C"/>
    <w:rsid w:val="00FE0593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65BB"/>
  <w15:chartTrackingRefBased/>
  <w15:docId w15:val="{D039A2B7-125C-44F6-823F-EC38B96A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AB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AB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uriston.com/kommercheskoe-pravo/yuridicheskie-litsa/ustavnoj-kapital/vnesenie-imushhe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on.com/kommercheskoe-pravo/yuridicheskie-litsa/ustavnoj-kapital/aktsii-i-deng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riston.com/kommercheskoe-pravo/yuridicheskie-litsa/ustavnoj-kapital/razm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Mazhieva Galiya</dc:creator>
  <cp:keywords/>
  <dc:description/>
  <cp:lastModifiedBy>Mazhieva Galiya</cp:lastModifiedBy>
  <cp:revision>22</cp:revision>
  <dcterms:created xsi:type="dcterms:W3CDTF">2018-02-06T06:32:00Z</dcterms:created>
  <dcterms:modified xsi:type="dcterms:W3CDTF">2019-03-06T05:15:00Z</dcterms:modified>
</cp:coreProperties>
</file>